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976a139a015c4568"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172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CEAHLAU</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Investitii colective in domeniul agricol si agroalimentar</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demontreze viabilitatea economică a investiției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corespunde cu criteriul de eligibilitate EG 4 detaliat la secțiunea Condiții de eligibilitate generală.</w:t>
            </w:r>
          </w:p>
          <w:p>
            <w:pPr>
              <w:spacing w:line="360" w:lineRule="auto"/>
              <w:ind w:left="0" w:right="0" w:firstLine="493"/>
            </w:pPr>
            <w:r>
              <w:rPr>
                <w:rFonts w:ascii="Cambria" w:hAnsi="Cambria"/>
                <w:b w:val="false"/>
                <w:sz w:val="24"/>
              </w:rPr>
              <w:t>Documente:</w:t>
            </w:r>
          </w:p>
          <w:p>
            <w:pPr>
              <w:pStyle w:val="ListParagraph"/>
              <w:numPr>
                <w:ilvl w:val="0"/>
                <w:numId w:val="2"/>
              </w:numPr>
            </w:pPr>
            <w:r>
              <w:rPr>
                <w:rFonts w:ascii="Cambria" w:hAnsi="Cambria"/>
                <w:b w:val="false"/>
                <w:sz w:val="24"/>
              </w:rPr>
              <w:t>Doc.1.- Studiul de fezabilitate/ Memoriu justificativ/ DALI</w:t>
            </w:r>
          </w:p>
          <w:p>
            <w:pPr>
              <w:pStyle w:val="ListParagraph"/>
              <w:numPr>
                <w:ilvl w:val="0"/>
                <w:numId w:val="2"/>
              </w:numPr>
            </w:pPr>
            <w:r>
              <w:rPr>
                <w:rFonts w:ascii="Cambria" w:hAnsi="Cambria"/>
                <w:b w:val="false"/>
                <w:sz w:val="24"/>
              </w:rPr>
              <w:t>Situatii financiare (bilanţul - formularul 10, contul de profit și pierdere - formularul 20)</w:t>
            </w:r>
          </w:p>
          <w:p>
            <w:pPr>
              <w:pStyle w:val="ListParagraph"/>
              <w:numPr>
                <w:ilvl w:val="0"/>
                <w:numId w:val="2"/>
              </w:numPr>
            </w:pPr>
            <w:r>
              <w:rPr>
                <w:rFonts w:ascii="Cambria" w:hAnsi="Cambria"/>
                <w:b w:val="false"/>
                <w:sz w:val="24"/>
              </w:rPr>
              <w:t>Cererea de finantare</w:t>
            </w:r>
          </w:p>
          <w:p>
            <w:pPr>
              <w:pStyle w:val="ListParagraph"/>
              <w:numPr>
                <w:ilvl w:val="0"/>
                <w:numId w:val="2"/>
              </w:numPr>
            </w:pPr>
            <w:r>
              <w:rPr>
                <w:rFonts w:ascii="Cambria" w:hAnsi="Cambria"/>
                <w:b w:val="false"/>
                <w:sz w:val="24"/>
              </w:rPr>
              <w:t>Buget indicativ</w:t>
            </w:r>
          </w:p>
          <w:p>
            <w:pPr>
              <w:pStyle w:val="ListParagraph"/>
              <w:numPr>
                <w:ilvl w:val="0"/>
                <w:numId w:val="2"/>
              </w:numPr>
            </w:pPr>
            <w:r>
              <w:rPr>
                <w:rFonts w:ascii="Cambria" w:hAnsi="Cambria"/>
                <w:b w:val="false"/>
                <w:sz w:val="24"/>
              </w:rPr>
              <w:t>Anexele B întocmite de solicitant în vederea completării Matricei de verificare a viabilităţii economico-financiare a proiectului.</w:t>
            </w:r>
          </w:p>
          <w:p>
            <w:pPr>
              <w:pStyle w:val="ListParagraph"/>
              <w:numPr>
                <w:ilvl w:val="0"/>
                <w:numId w:val="2"/>
              </w:numPr>
            </w:pPr>
            <w:r>
              <w:rPr>
                <w:rFonts w:ascii="Cambria" w:hAnsi="Cambria"/>
                <w:b w:val="false"/>
                <w:sz w:val="24"/>
              </w:rPr>
              <w:t>Declarația de inactivitate înregistrată la Administrația Financiară, în cazul solicitanților care nu au desfășurat activitate anterior depunerii proiectului.</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Verificarea îndeplinirii criteriului se va face conform punctelor I și II.</w:t>
            </w:r>
          </w:p>
          <w:p>
            <w:pPr>
              <w:spacing w:line="360" w:lineRule="auto"/>
              <w:ind w:left="0" w:right="0" w:firstLine="493"/>
            </w:pPr>
            <w:r>
              <w:rPr>
                <w:rFonts w:ascii="Cambria" w:hAnsi="Cambria"/>
                <w:b w:val="false"/>
                <w:sz w:val="24"/>
              </w:rPr>
              <w:t>I.a) În cazul tuturor solicitanților, expertul verifică,</w:t>
            </w:r>
          </w:p>
          <w:p>
            <w:pPr>
              <w:spacing w:line="360" w:lineRule="auto"/>
              <w:ind w:left="0" w:right="0" w:firstLine="493"/>
            </w:pPr>
            <w:r>
              <w:rPr>
                <w:rFonts w:ascii="Cambria" w:hAnsi="Cambria"/>
                <w:b w:val="false"/>
                <w:sz w:val="24"/>
              </w:rPr>
              <w:t>- situațiile financiare ale acestora, după cum urmează:</w:t>
            </w:r>
          </w:p>
          <w:p>
            <w:pPr>
              <w:spacing w:line="360" w:lineRule="auto"/>
              <w:ind w:left="0" w:right="0" w:firstLine="493"/>
            </w:pPr>
            <w:r>
              <w:rPr>
                <w:rFonts w:ascii="Cambria" w:hAnsi="Cambria"/>
                <w:b w:val="false"/>
                <w:sz w:val="24"/>
              </w:rPr>
              <w:t>-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w:t>
            </w:r>
          </w:p>
          <w:p>
            <w:pPr>
              <w:spacing w:line="360" w:lineRule="auto"/>
              <w:ind w:left="0" w:right="0" w:firstLine="493"/>
            </w:pPr>
            <w:r>
              <w:rPr>
                <w:rFonts w:ascii="Cambria" w:hAnsi="Cambria"/>
                <w:b w:val="false"/>
                <w:sz w:val="24"/>
              </w:rPr>
              <w:t>În cazul în care anul precedent depunerii Cererii de Finanţare este anul înfiinţării, nu se analizează rezultatul operaţional care poate fi negativ. Este acceptată pierderea din exploatare pe anul anterior depunerii cererii de finanțare.</w:t>
            </w:r>
          </w:p>
          <w:p>
            <w:pPr>
              <w:spacing w:line="360" w:lineRule="auto"/>
              <w:ind w:left="0" w:right="0" w:firstLine="493"/>
            </w:pPr>
            <w:r>
              <w:rPr>
                <w:rFonts w:ascii="Cambria" w:hAnsi="Cambria"/>
                <w:b w:val="false"/>
                <w:sz w:val="24"/>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pPr>
              <w:spacing w:line="360" w:lineRule="auto"/>
              <w:ind w:left="0" w:right="0" w:firstLine="493"/>
            </w:pPr>
            <w:r>
              <w:rPr>
                <w:rFonts w:ascii="Cambria" w:hAnsi="Cambria"/>
                <w:b w:val="false"/>
                <w:sz w:val="24"/>
              </w:rPr>
              <w:t>II) Expertul verifică în cadrul secţiunii economice dacă indicatorii economico-financiari se încadrează în limitele menţionate. Pentru aceasta, expertul completează Matricea de evaluare a viabilitătii economice a proiectului pentru Anexa B (persoane juridice).</w:t>
            </w:r>
          </w:p>
          <w:p>
            <w:pPr>
              <w:spacing w:line="360" w:lineRule="auto"/>
              <w:ind w:left="0" w:right="0" w:firstLine="493"/>
            </w:pPr>
            <w:r>
              <w:rPr>
                <w:rFonts w:ascii="Cambria" w:hAnsi="Cambria"/>
                <w:b w:val="false"/>
                <w:sz w:val="24"/>
              </w:rPr>
              <w:t>Nu se va lua în calcul anul înfiinţării în care rezultatul poate fi negativ, situaţie în care condiţia pentru verificarea rezultatului financiar se va considera indeplinită.</w:t>
            </w:r>
          </w:p>
          <w:p>
            <w:pPr>
              <w:spacing w:line="360" w:lineRule="auto"/>
              <w:ind w:left="0" w:right="0" w:firstLine="493"/>
            </w:pPr>
            <w:r>
              <w:rPr>
                <w:rFonts w:ascii="Cambria" w:hAnsi="Cambria"/>
                <w:b w:val="false"/>
                <w:sz w:val="24"/>
              </w:rPr>
              <w:t>Declaraţia de inactivitate înregistrată la Administraţia Financiară, în cazul solicitanţilor care nu au desfăşurat activitate anterior depunerii proiectului.</w:t>
            </w:r>
          </w:p>
          <w:p>
            <w:pPr>
              <w:spacing w:line="360" w:lineRule="auto"/>
              <w:ind w:left="0" w:right="0" w:firstLine="493"/>
            </w:pPr>
            <w:r>
              <w:rPr>
                <w:rFonts w:ascii="Cambria" w:hAnsi="Cambria"/>
                <w:b w:val="false"/>
                <w:sz w:val="24"/>
              </w:rPr>
              <w:t>Studiul de fezabilitate/Memoriul justificativ - privind viabilitatea economico-financiare a  </w:t>
            </w:r>
            <w:r>
              <w:rPr>
                <w:rFonts w:ascii="Cambria" w:hAnsi="Cambria"/>
                <w:b w:val="false"/>
                <w:sz w:val="24"/>
                <w:u w:val="single"/>
              </w:rPr>
              <w:t>proiectului.</w:t>
            </w:r>
          </w:p>
          <w:p>
            <w:pPr>
              <w:spacing w:line="360" w:lineRule="auto"/>
              <w:ind w:left="0" w:right="0" w:firstLine="493"/>
            </w:pPr>
            <w:r>
              <w:rPr>
                <w:rFonts w:ascii="Cambria" w:hAnsi="Cambria"/>
                <w:b w:val="false"/>
                <w:sz w:val="24"/>
              </w:rPr>
              <w:t>Se verifică indicatorii economico-financiari din cadrul secţiunii economice să se încadreze în limitele menţionate, începând cu anul în care se finalizează investiţia şi se obţine/ obţin producţie/ venituri conform tehnologiilor de producţie .</w:t>
            </w:r>
          </w:p>
          <w:p>
            <w:pPr>
              <w:spacing w:line="360" w:lineRule="auto"/>
              <w:ind w:left="0" w:right="0" w:firstLine="493"/>
            </w:pPr>
            <w:r>
              <w:rPr>
                <w:rFonts w:ascii="Cambria" w:hAnsi="Cambria"/>
                <w:b w:val="false"/>
                <w:sz w:val="24"/>
              </w:rPr>
              <w:t>Verificarea incadrării in indicatorii economico-financiari stabiliţi se va face in matricea de evaluare a viabilităţii economice a proiectului pentru Anexa B (persoane juridice).</w:t>
            </w:r>
          </w:p>
          <w:p>
            <w:pPr>
              <w:spacing w:line="360" w:lineRule="auto"/>
              <w:ind w:left="0" w:right="0" w:firstLine="493"/>
            </w:pPr>
            <w:r>
              <w:rPr>
                <w:rFonts w:ascii="Cambria" w:hAnsi="Cambria"/>
                <w:b w:val="false"/>
                <w:sz w:val="24"/>
              </w:rPr>
              <w:t>Matricea de evaluare a viabilităţii economice a proiectului pentru Anexa B (persoane juridice):</w:t>
            </w:r>
          </w:p>
          <w:p>
            <w:pPr>
              <w:spacing w:line="360" w:lineRule="auto"/>
              <w:ind w:left="0" w:right="0" w:firstLine="493"/>
            </w:pPr>
            <w:r>
              <w:rPr>
                <w:rFonts w:ascii="Cambria" w:hAnsi="Cambria"/>
                <w:b w:val="false"/>
                <w:sz w:val="24"/>
              </w:rPr>
              <w:t>Verificarea indicatorilor economico-financiari constă în verificarea încadrării acestora în limitele menţionate în coloana 3 a matricei de mai jos. Limitele impuse se referă la urmatorii indicatori:</w:t>
            </w:r>
          </w:p>
          <w:p>
            <w:pPr>
              <w:pStyle w:val="ListParagraph"/>
              <w:numPr>
                <w:ilvl w:val="0"/>
                <w:numId w:val="3"/>
              </w:numPr>
            </w:pPr>
            <w:r>
              <w:rPr>
                <w:rFonts w:ascii="Cambria" w:hAnsi="Cambria"/>
                <w:b w:val="false"/>
                <w:sz w:val="24"/>
              </w:rPr>
              <w:t>Rata rezultatului din exploatare,</w:t>
            </w:r>
          </w:p>
          <w:p>
            <w:pPr>
              <w:pStyle w:val="ListParagraph"/>
              <w:numPr>
                <w:ilvl w:val="0"/>
                <w:numId w:val="3"/>
              </w:numPr>
            </w:pPr>
            <w:r>
              <w:rPr>
                <w:rFonts w:ascii="Cambria" w:hAnsi="Cambria"/>
                <w:b w:val="false"/>
                <w:sz w:val="24"/>
              </w:rPr>
              <w:t>Durata de recuperare a investiţiei,</w:t>
            </w:r>
          </w:p>
          <w:p>
            <w:pPr>
              <w:pStyle w:val="ListParagraph"/>
              <w:numPr>
                <w:ilvl w:val="0"/>
                <w:numId w:val="3"/>
              </w:numPr>
            </w:pPr>
            <w:r>
              <w:rPr>
                <w:rFonts w:ascii="Cambria" w:hAnsi="Cambria"/>
                <w:b w:val="false"/>
                <w:sz w:val="24"/>
              </w:rPr>
              <w:t>Rata rentabilitătii capitalului investit,</w:t>
            </w:r>
          </w:p>
          <w:p>
            <w:pPr>
              <w:pStyle w:val="ListParagraph"/>
              <w:numPr>
                <w:ilvl w:val="0"/>
                <w:numId w:val="3"/>
              </w:numPr>
            </w:pPr>
            <w:r>
              <w:rPr>
                <w:rFonts w:ascii="Cambria" w:hAnsi="Cambria"/>
                <w:b w:val="false"/>
                <w:sz w:val="24"/>
              </w:rPr>
              <w:t>Rata acoperirii prin fluxul de numerar,</w:t>
            </w:r>
          </w:p>
          <w:p>
            <w:pPr>
              <w:pStyle w:val="ListParagraph"/>
              <w:numPr>
                <w:ilvl w:val="0"/>
                <w:numId w:val="3"/>
              </w:numPr>
            </w:pPr>
            <w:r>
              <w:rPr>
                <w:rFonts w:ascii="Cambria" w:hAnsi="Cambria"/>
                <w:b w:val="false"/>
                <w:sz w:val="24"/>
              </w:rPr>
              <w:t>Rata îndatorării,</w:t>
            </w:r>
          </w:p>
          <w:p>
            <w:pPr>
              <w:pStyle w:val="ListParagraph"/>
              <w:numPr>
                <w:ilvl w:val="0"/>
                <w:numId w:val="3"/>
              </w:numPr>
            </w:pPr>
            <w:r>
              <w:rPr>
                <w:rFonts w:ascii="Cambria" w:hAnsi="Cambria"/>
                <w:b w:val="false"/>
                <w:sz w:val="24"/>
              </w:rPr>
              <w:t>Valoarea actualizată netă (VAN),</w:t>
            </w:r>
          </w:p>
          <w:p>
            <w:pPr>
              <w:pStyle w:val="ListParagraph"/>
              <w:numPr>
                <w:ilvl w:val="0"/>
                <w:numId w:val="3"/>
              </w:numPr>
            </w:pPr>
            <w:r>
              <w:rPr>
                <w:rFonts w:ascii="Cambria" w:hAnsi="Cambria"/>
                <w:b w:val="false"/>
                <w:sz w:val="24"/>
              </w:rPr>
              <w:t>Disponibil de numerar curent</w:t>
            </w:r>
          </w:p>
          <w:p>
            <w:pPr>
              <w:pStyle w:val="ListParagraph"/>
              <w:numPr>
                <w:ilvl w:val="0"/>
                <w:numId w:val="3"/>
              </w:numPr>
            </w:pPr>
            <w:r>
              <w:rPr>
                <w:rFonts w:ascii="Cambria" w:hAnsi="Cambria"/>
                <w:b w:val="false"/>
                <w:sz w:val="24"/>
              </w:rPr>
              <w:t>Acei indicatori pentru care nu sunt stabilite limite maxime sau minime de variaţie au menţiunea “N/A”.</w:t>
            </w:r>
          </w:p>
          <w:p>
            <w:pPr>
              <w:spacing w:line="360" w:lineRule="auto"/>
              <w:ind w:left="0" w:right="0" w:firstLine="493"/>
            </w:pPr>
            <w:r>
              <w:rPr>
                <w:rFonts w:ascii="Cambria" w:hAnsi="Cambria"/>
                <w:b w:val="false"/>
                <w:sz w:val="24"/>
              </w:rPr>
              <w:t>Respectarea încadrării indicatorilor în limitele admisibile prin program se face în mod automat în coloana 11 a matricei de verificare prin apariţia mesajului “Respectă criteriul” pentru fiecare din indicatorii mentionaţi mai sus.</w:t>
            </w:r>
          </w:p>
          <w:p>
            <w:pPr>
              <w:spacing w:line="360" w:lineRule="auto"/>
              <w:ind w:left="0" w:right="0" w:firstLine="493"/>
            </w:pPr>
            <w:r>
              <w:rPr>
                <w:rFonts w:ascii="Cambria" w:hAnsi="Cambria"/>
                <w:b w:val="false"/>
                <w:sz w:val="24"/>
              </w:rPr>
              <w:t>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w:t>
            </w:r>
          </w:p>
          <w:p>
            <w:pPr>
              <w:spacing w:line="360" w:lineRule="auto"/>
              <w:ind w:left="0" w:right="0" w:firstLine="493"/>
            </w:pPr>
            <w:r>
              <w:rPr>
                <w:rFonts w:ascii="Cambria" w:hAnsi="Cambria"/>
                <w:b w:val="false"/>
                <w:sz w:val="24"/>
              </w:rPr>
              <w:t>Dacă indicatorii se încadrează în limitele menţionate şi rezultatul operaţional din bilanţ este pozitiv, expertul bifează caseta DA corespunzatoare acestui criteriu de eligibilitate.</w:t>
            </w:r>
          </w:p>
          <w:p>
            <w:pPr>
              <w:spacing w:line="360" w:lineRule="auto"/>
              <w:ind w:left="0" w:right="0" w:firstLine="493"/>
            </w:pPr>
            <w:r>
              <w:rPr>
                <w:rFonts w:ascii="Cambria" w:hAnsi="Cambria"/>
                <w:b w:val="false"/>
                <w:sz w:val="24"/>
              </w:rPr>
              <w:t>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GAL, OJFIR, CRFIR.</w:t>
            </w:r>
          </w:p>
          <w:p>
            <w:pPr>
              <w:spacing w:line="360" w:lineRule="auto"/>
              <w:ind w:left="0" w:right="0" w:firstLine="493"/>
            </w:pPr>
            <w:r>
              <w:rPr>
                <w:rFonts w:ascii="Cambria" w:hAnsi="Cambria"/>
                <w:b w:val="false"/>
                <w:sz w:val="24"/>
              </w:rPr>
              <w:t>Totodată se verifică dacă există neconcordanţe intre cheltuielile propuse in SF/ MJ/ DALI în raport cu nevoile reale ale investiţiei.</w:t>
            </w:r>
          </w:p>
          <w:p>
            <w:pPr>
              <w:spacing w:line="360" w:lineRule="auto"/>
              <w:ind w:left="0" w:right="0" w:firstLine="493"/>
            </w:pPr>
            <w:r>
              <w:rPr>
                <w:rFonts w:ascii="Cambria" w:hAnsi="Cambria"/>
                <w:b w:val="false"/>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pPr>
              <w:spacing w:line="360" w:lineRule="auto"/>
              <w:ind w:left="0" w:right="0" w:firstLine="493"/>
            </w:pPr>
            <w:r>
              <w:rPr>
                <w:rFonts w:ascii="Cambria" w:hAnsi="Cambria"/>
                <w:b w:val="false"/>
                <w:sz w:val="24"/>
              </w:rPr>
              <w:t>Dacă indicatorii conform matricei de viabilitate se încadrează în limitele menţionate şi rezultatul din situaţiile financiare este pozitiv, expertul bifează caseta DA corespunzătoare acestei condiţii minime.</w:t>
            </w:r>
          </w:p>
          <w:p>
            <w:pPr>
              <w:spacing w:line="360" w:lineRule="auto"/>
              <w:ind w:left="0" w:right="0" w:firstLine="493"/>
            </w:pPr>
            <w:r>
              <w:rPr>
                <w:rFonts w:ascii="Cambria" w:hAnsi="Cambria"/>
                <w:b w:val="false"/>
                <w:sz w:val="24"/>
              </w:rPr>
              <w:t>Se corelează informaţiile din previziuni cu cele din SF/ MJ referitoare la tipul şi capacitatea de producţie.</w:t>
            </w:r>
          </w:p>
          <w:p>
            <w:pPr>
              <w:spacing w:line="360" w:lineRule="auto"/>
              <w:ind w:left="0" w:right="0" w:firstLine="493"/>
            </w:pPr>
            <w:r>
              <w:rPr>
                <w:rFonts w:ascii="Cambria" w:hAnsi="Cambria"/>
                <w:b w:val="false"/>
                <w:sz w:val="24"/>
              </w:rPr>
              <w:t>Dacă în urma verificării efectuate în conformitate cu precizările din coloana “puncte de verificat”, expertul constată că Indicatorii economico-financiari se încadrează în limitele menţionate în cadrul sectiunii economice se bifează coloana DA.</w:t>
            </w:r>
          </w:p>
          <w:p>
            <w:pPr>
              <w:spacing w:line="360" w:lineRule="auto"/>
              <w:ind w:left="0" w:right="0" w:firstLine="493"/>
            </w:pPr>
            <w:r>
              <w:rPr>
                <w:rFonts w:ascii="Cambria" w:hAnsi="Cambria"/>
                <w:b w:val="false"/>
                <w:sz w:val="24"/>
              </w:rPr>
              <w:t>În caz contrar se va bifa “NU”, iar 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demontreze asigurarea cofinanțării investiției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corespunde cu criteriul de eligibilitate EG1.7 detaliat la secțiunea Condiții de eligibilitate generală.</w:t>
            </w:r>
          </w:p>
          <w:p>
            <w:pPr>
              <w:spacing w:line="360" w:lineRule="auto"/>
              <w:ind w:left="0" w:right="0" w:firstLine="493"/>
            </w:pPr>
            <w:r>
              <w:rPr>
                <w:rFonts w:ascii="Cambria" w:hAnsi="Cambria"/>
                <w:b w:val="false"/>
                <w:sz w:val="24"/>
              </w:rPr>
              <w:t>Documente verificate:</w:t>
            </w:r>
          </w:p>
          <w:p>
            <w:pPr>
              <w:pStyle w:val="ListParagraph"/>
              <w:numPr>
                <w:ilvl w:val="0"/>
                <w:numId w:val="2"/>
              </w:numPr>
            </w:pPr>
            <w:r>
              <w:rPr>
                <w:rFonts w:ascii="Cambria" w:hAnsi="Cambria"/>
                <w:b w:val="false"/>
                <w:sz w:val="24"/>
                <w:lang w:val="ro"/>
              </w:rPr>
              <w:t>Declaratia F</w:t>
            </w:r>
          </w:p>
          <w:p>
            <w:pPr>
              <w:pStyle w:val="ListParagraph"/>
              <w:numPr>
                <w:ilvl w:val="0"/>
                <w:numId w:val="2"/>
              </w:numPr>
            </w:pPr>
            <w:r>
              <w:rPr>
                <w:rFonts w:ascii="Cambria" w:hAnsi="Cambria"/>
                <w:b w:val="false"/>
                <w:sz w:val="24"/>
                <w:lang w:val="ro"/>
              </w:rPr>
              <w:t>Buget indicativ</w:t>
            </w:r>
          </w:p>
          <w:p>
            <w:pPr>
              <w:pStyle w:val="ListParagraph"/>
              <w:numPr>
                <w:ilvl w:val="0"/>
                <w:numId w:val="2"/>
              </w:numPr>
            </w:pPr>
            <w:r>
              <w:rPr>
                <w:rFonts w:ascii="Cambria" w:hAnsi="Cambria"/>
                <w:b w:val="false"/>
                <w:sz w:val="24"/>
              </w:rPr>
              <w:t>Cererea de finantare</w:t>
            </w:r>
          </w:p>
          <w:p>
            <w:pPr>
              <w:spacing w:line="360" w:lineRule="auto"/>
              <w:ind w:left="0" w:right="0" w:firstLine="493"/>
            </w:pPr>
            <w:r>
              <w:rPr>
                <w:rFonts w:ascii="Cambria Bold" w:hAnsi="Cambria Bold"/>
                <w:b/>
                <w:sz w:val="24"/>
                <w:lang w:val="ro"/>
              </w:rPr>
              <w:t>Metodologie de verificare</w:t>
            </w:r>
          </w:p>
          <w:p>
            <w:pPr>
              <w:spacing w:line="360" w:lineRule="auto"/>
              <w:ind w:left="0" w:right="0" w:firstLine="493"/>
            </w:pPr>
            <w:r>
              <w:rPr>
                <w:rFonts w:ascii="Cambria" w:hAnsi="Cambria"/>
                <w:b w:val="false"/>
                <w:sz w:val="24"/>
                <w:lang w:val="ro"/>
              </w:rPr>
              <w:t>Criteriul se consideră îndeplinit prin verificarea însuşirii Declaraţiei F şi în baza corelării informaţiilor din Cererea de Finanțare, a Bugetului Indicativ propus și rezultat în urma evaluării.</w:t>
            </w:r>
          </w:p>
          <w:p>
            <w:pPr>
              <w:spacing w:line="360" w:lineRule="auto"/>
              <w:ind w:left="0" w:right="0" w:firstLine="493"/>
            </w:pPr>
            <w:r>
              <w:rPr>
                <w:rFonts w:ascii="Cambria" w:hAnsi="Cambria"/>
                <w:b w:val="false"/>
                <w:sz w:val="24"/>
                <w:lang w:val="ro"/>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pPr>
              <w:spacing w:line="360" w:lineRule="auto"/>
              <w:ind w:left="0" w:right="0" w:firstLine="493"/>
            </w:pPr>
            <w:r>
              <w:rPr>
                <w:rFonts w:ascii="Cambria" w:hAnsi="Cambria"/>
                <w:b w:val="false"/>
                <w:sz w:val="24"/>
                <w:lang w:val="ro"/>
              </w:rPr>
              <w:t>În cazul depunerii unor solicitări pentru mai multe proiecte, solicitantul/ beneficiarul, după caz, trebuie să dovedească existența co-finanțării private pentru proiect, sau, după caz, cumulat pentru toate proiectele.</w:t>
            </w:r>
          </w:p>
          <w:p>
            <w:pPr>
              <w:spacing w:line="360" w:lineRule="auto"/>
              <w:ind w:left="0" w:right="0" w:firstLine="493"/>
            </w:pPr>
            <w:r>
              <w:rPr>
                <w:rFonts w:ascii="Cambria" w:hAnsi="Cambria"/>
                <w:b w:val="false"/>
                <w:sz w:val="24"/>
              </w:rPr>
              <w:t>Dacă răspunsul este  </w:t>
            </w:r>
            <w:r>
              <w:rPr>
                <w:rFonts w:ascii="Cambria Bold" w:hAnsi="Cambria Bold"/>
                <w:b/>
                <w:sz w:val="24"/>
              </w:rPr>
              <w:t>DA – conditie de eligibilitate</w:t>
            </w:r>
            <w:r>
              <w:rPr>
                <w:rFonts w:ascii="Cambria" w:hAnsi="Cambria"/>
                <w:b w:val="false"/>
                <w:sz w:val="24"/>
              </w:rPr>
              <w:t>, se bifează căsuța corespunzătoare și se continuă verificarea.</w:t>
            </w:r>
          </w:p>
          <w:p>
            <w:pPr>
              <w:spacing w:line="360" w:lineRule="auto"/>
              <w:ind w:left="0" w:right="0" w:firstLine="493"/>
            </w:pPr>
            <w:r>
              <w:rPr>
                <w:rFonts w:ascii="Cambria" w:hAnsi="Cambria"/>
                <w:b w:val="false"/>
                <w:sz w:val="24"/>
              </w:rPr>
              <w:t>Dacă răspunsul este  </w:t>
            </w:r>
            <w:r>
              <w:rPr>
                <w:rFonts w:ascii="Cambria Bold" w:hAnsi="Cambria Bold"/>
                <w:b/>
                <w:sz w:val="24"/>
              </w:rPr>
              <w:t>NU – condiție de neeeligibilitate,</w:t>
            </w:r>
            <w:r>
              <w:rPr>
                <w:rFonts w:ascii="Cambria" w:hAnsi="Cambria"/>
                <w:b w:val="false"/>
                <w:sz w:val="24"/>
              </w:rPr>
              <w:t>  se bifează căsuța corespunzătoare și se detaliază răspunsul la rubrica Observații.</w:t>
            </w:r>
          </w:p>
          <w:p>
            <w:pPr>
              <w:spacing w:line="360" w:lineRule="auto"/>
              <w:ind w:left="0" w:right="0" w:firstLine="493"/>
            </w:pPr>
            <w:r>
              <w:rPr>
                <w:rFonts w:ascii="Cambria" w:hAnsi="Cambria"/>
                <w:b w:val="false"/>
                <w:sz w:val="24"/>
              </w:rPr>
              <w:t>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va respecta prevederile legislației naționale în vigoare aplicabilă proiectului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Declaratie pe propria raspundere EG3 si EG8</w:t>
            </w:r>
          </w:p>
          <w:p>
            <w:pPr>
              <w:spacing w:line="360" w:lineRule="auto"/>
              <w:ind w:left="0" w:right="0" w:firstLine="493"/>
            </w:pPr>
            <w:r>
              <w:rPr>
                <w:rFonts w:ascii="Cambria" w:hAnsi="Cambria"/>
                <w:b w:val="false"/>
                <w:sz w:val="24"/>
              </w:rPr>
              <w:t>- Avizele de funcționare emise de instituțiile statului pentru obiectivele deja existente și funcționale.</w:t>
            </w:r>
          </w:p>
          <w:p>
            <w:pPr>
              <w:spacing w:line="360" w:lineRule="auto"/>
              <w:ind w:left="0" w:right="0" w:firstLine="493"/>
            </w:pPr>
            <w:r>
              <w:rPr>
                <w:rFonts w:ascii="Cambria Bold" w:hAnsi="Cambria Bold"/>
                <w:b/>
                <w:sz w:val="24"/>
              </w:rPr>
              <w:t>Metodologie de funcționare:</w:t>
            </w:r>
          </w:p>
          <w:p>
            <w:pPr>
              <w:spacing w:line="360" w:lineRule="auto"/>
              <w:ind w:left="0" w:right="0" w:firstLine="493"/>
            </w:pPr>
            <w:r>
              <w:rPr>
                <w:rFonts w:ascii="Cambria Bold" w:hAnsi="Cambria Bold"/>
                <w:b/>
                <w:sz w:val="24"/>
              </w:rPr>
              <w:t>a) pentru proiectele ce vizează investiții noi:</w:t>
            </w:r>
          </w:p>
          <w:p>
            <w:pPr>
              <w:spacing w:line="360" w:lineRule="auto"/>
              <w:ind w:left="0" w:right="0" w:firstLine="493"/>
            </w:pPr>
            <w:r>
              <w:rPr>
                <w:rFonts w:ascii="Cambria" w:hAnsi="Cambria"/>
                <w:b w:val="false"/>
                <w:sz w:val="24"/>
              </w:rPr>
              <w:t>Expertul verifică dacă solicitantul și-a asumat prin Formularul  Declarație pe proprie răspundere  EG3 si EG8, că va depune la momentul primei tranșe de plată a Avizelor necesare implementării proiectului, emise de către DSP, DSVSA, Autoritatea competentă de mediu </w:t>
            </w:r>
          </w:p>
          <w:p>
            <w:pPr>
              <w:spacing w:line="360" w:lineRule="auto"/>
              <w:ind w:left="0" w:right="0" w:firstLine="493"/>
            </w:pPr>
            <w:r>
              <w:rPr>
                <w:rFonts w:ascii="Cambria Bold" w:hAnsi="Cambria Bold"/>
                <w:b/>
                <w:sz w:val="24"/>
              </w:rPr>
              <w:t>b) pentru proiectele ce vizează modernizări:</w:t>
            </w:r>
          </w:p>
          <w:p>
            <w:pPr>
              <w:spacing w:line="360" w:lineRule="auto"/>
              <w:ind w:left="0" w:right="0" w:firstLine="493"/>
            </w:pPr>
            <w:r>
              <w:rPr>
                <w:rFonts w:ascii="Cambria" w:hAnsi="Cambria"/>
                <w:b w:val="false"/>
                <w:sz w:val="24"/>
              </w:rPr>
              <w:t>Expertul verifică dacă solicitantul a prezentat la momentul depunerii Cererii de finanțare a documentelor doveditoare funcționării obiectivelor existente şi functionale conform legislației nationale: DSP, DSVSA, Autorității competente de mediu (autorizațiile de funcționare/ NOTIFICARE de constatare a conformităţii cu legislaţia sanitară emisă pentru unitățile care se autorizează/avizează conform legislației în vigoare), care vor face obiectul lucrărilor de modernizare prin proiect şi ulterior.</w:t>
            </w:r>
          </w:p>
          <w:p>
            <w:pPr>
              <w:spacing w:line="360" w:lineRule="auto"/>
              <w:ind w:left="0" w:right="0" w:firstLine="493"/>
            </w:pPr>
            <w:r>
              <w:rPr>
                <w:rFonts w:ascii="Cambria" w:hAnsi="Cambria"/>
                <w:b w:val="false"/>
                <w:sz w:val="24"/>
                <w:lang w:val="ro"/>
              </w:rPr>
              <w:t>În cazul proiectelor de modernizare a unor locaţii/ obiective  a căror activitate este supervizată şi de alte autorităţi decât cele menţionate sau doar de alte autorităţi decât cele menţionate, expertul va verifica documentele prezentate de solicitant care atestă funcționarea obiectivelor existente şi funcţionalitatea conform legislației nationale aplicabile.</w:t>
            </w:r>
          </w:p>
          <w:p>
            <w:pPr>
              <w:spacing w:line="360" w:lineRule="auto"/>
              <w:ind w:left="0" w:right="0" w:firstLine="493"/>
            </w:pPr>
            <w:r>
              <w:rPr>
                <w:rFonts w:ascii="Cambria" w:hAnsi="Cambria"/>
                <w:b w:val="false"/>
                <w:sz w:val="24"/>
              </w:rPr>
              <w:t>La ultima cerere de plată vor fi prezentate documentele care atestă autorizarea obiectivului de investiții realizat prin proiect din punct de vedere al normelor de mediu, sanitar-veterinar și de sănătate publică, după caz.</w:t>
            </w:r>
          </w:p>
          <w:p>
            <w:pPr>
              <w:spacing w:line="360" w:lineRule="auto"/>
              <w:ind w:left="0" w:right="0" w:firstLine="493"/>
            </w:pPr>
            <w:r>
              <w:rPr>
                <w:rFonts w:ascii="Cambria" w:hAnsi="Cambria"/>
                <w:b w:val="false"/>
                <w:sz w:val="24"/>
                <w:lang w:val="ro"/>
              </w:rPr>
              <w:t>Se verifică dacă documentele prezentate erau în termen de valabilitate la data depunerii cererii de finanţare, dacă sunt emise pe numele solicitantului şi vizează proiectul depus, şi dacă este cazul, amplasamentul menţionat în proiect.</w:t>
            </w:r>
          </w:p>
          <w:p>
            <w:pPr>
              <w:spacing w:line="360" w:lineRule="auto"/>
              <w:ind w:left="0" w:right="0" w:firstLine="493"/>
            </w:pPr>
            <w:r>
              <w:rPr>
                <w:rFonts w:ascii="Cambria" w:hAnsi="Cambria"/>
                <w:b w:val="false"/>
                <w:sz w:val="24"/>
              </w:rPr>
              <w:t>Dacă solicitantul a prezentat documentele aferente tipului de investiție, expertul bifează DA- condiție de eligibilitate îndeplinită.</w:t>
            </w:r>
          </w:p>
          <w:p>
            <w:pPr>
              <w:spacing w:line="360" w:lineRule="auto"/>
              <w:ind w:left="0" w:right="0" w:firstLine="493"/>
            </w:pPr>
            <w:r>
              <w:rPr>
                <w:rFonts w:ascii="Cambria" w:hAnsi="Cambria"/>
                <w:b w:val="false"/>
                <w:sz w:val="24"/>
              </w:rPr>
              <w:t>În caz contrar, expertul bifează NU - condiție de eligibilitate neîndeplinită și detaliază la rubrica Observații.</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Investiția trebuie să respecte toate standardele obligatorii în vigoare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Prin „standardele obligatorii în vigoare” se înțeleg toate actele normative, standardele, normativele, reglementările tehnice și celelalte cerințe obligatorii aplicabile tipului de investiție propuse, în vigoare la data elaborării documentației tehnico-economice și/sau la data depunerii cererii de finanțare, după caz.</w:t>
            </w:r>
          </w:p>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Cererea de finanțare și anexele aferente;</w:t>
            </w:r>
          </w:p>
          <w:p>
            <w:pPr>
              <w:spacing w:line="360" w:lineRule="auto"/>
              <w:ind w:left="0" w:right="0" w:firstLine="493"/>
            </w:pPr>
            <w:r>
              <w:rPr>
                <w:rFonts w:ascii="Cambria" w:hAnsi="Cambria"/>
                <w:b w:val="false"/>
                <w:sz w:val="24"/>
              </w:rPr>
              <w:t>• Studiul de fezabilitate/DALI/documentația tehnică, după caz;</w:t>
            </w:r>
          </w:p>
          <w:p>
            <w:pPr>
              <w:spacing w:line="360" w:lineRule="auto"/>
              <w:ind w:left="0" w:right="0" w:firstLine="493"/>
            </w:pPr>
            <w:r>
              <w:rPr>
                <w:rFonts w:ascii="Cambria" w:hAnsi="Cambria"/>
                <w:b w:val="false"/>
                <w:sz w:val="24"/>
              </w:rPr>
              <w:t>• Certificatul de urbanism, după caz;</w:t>
            </w:r>
          </w:p>
          <w:p>
            <w:pPr>
              <w:spacing w:line="360" w:lineRule="auto"/>
              <w:ind w:left="0" w:right="0" w:firstLine="493"/>
            </w:pPr>
            <w:r>
              <w:rPr>
                <w:rFonts w:ascii="Cambria" w:hAnsi="Cambria"/>
                <w:b w:val="false"/>
                <w:sz w:val="24"/>
              </w:rPr>
              <w:t>• Avizele, acordurile și autorizațiile emise de autoritățile competente, după caz;</w:t>
            </w:r>
          </w:p>
          <w:p>
            <w:pPr>
              <w:spacing w:line="360" w:lineRule="auto"/>
              <w:ind w:left="0" w:right="0" w:firstLine="493"/>
            </w:pPr>
            <w:r>
              <w:rPr>
                <w:rFonts w:ascii="Cambria" w:hAnsi="Cambria"/>
                <w:b w:val="false"/>
                <w:sz w:val="24"/>
              </w:rPr>
              <w:t>• Documente emise de DSVSA, DSP, autorități de mediu, ISU sau alte autorități competente, după caz;</w:t>
            </w:r>
          </w:p>
          <w:p>
            <w:pPr>
              <w:spacing w:line="360" w:lineRule="auto"/>
              <w:ind w:left="0" w:right="0" w:firstLine="493"/>
            </w:pPr>
            <w:r>
              <w:rPr>
                <w:rFonts w:ascii="Cambria" w:hAnsi="Cambria"/>
                <w:b w:val="false"/>
                <w:sz w:val="24"/>
              </w:rPr>
              <w:t>Alte documente justificative relevante pentru tipul și specificul investiției</w:t>
            </w:r>
          </w:p>
          <w:p>
            <w:pPr>
              <w:spacing w:line="360" w:lineRule="auto"/>
              <w:ind w:left="0" w:right="0" w:firstLine="493"/>
            </w:pPr>
            <w:r>
              <w:rPr>
                <w:rFonts w:ascii="Cambria" w:hAnsi="Cambria"/>
                <w:b w:val="false"/>
                <w:sz w:val="24"/>
              </w:rPr>
              <w:t>Metodologia de verificare:</w:t>
            </w:r>
          </w:p>
          <w:p>
            <w:pPr>
              <w:spacing w:line="360" w:lineRule="auto"/>
              <w:ind w:left="0" w:right="0" w:firstLine="493"/>
            </w:pPr>
            <w:r>
              <w:rPr>
                <w:rFonts w:ascii="Cambria" w:hAnsi="Cambria"/>
                <w:b w:val="false"/>
                <w:sz w:val="24"/>
              </w:rPr>
              <w:t>Expertul identifica tipul investitiei/activitatile care urmeaza sa fie desfășurate și stabilește, în funcție de acestea, standardele, normele și cerințele obligatorii aplicabile. Se verifică prin corelarea Cererii de finanțare cu documentația tehnică și documentele justificative dacă soluția tehnică și funcțională propusă permite realizarea și exploatarea investiției cu respectarea cerințelor legale aplicabile.</w:t>
            </w:r>
          </w:p>
          <w:p>
            <w:r>
              <w:rPr>
                <w:rFonts w:ascii="Cambria" w:hAnsi="Cambria"/>
                <w:b w:val="false"/>
                <w:sz w:val="24"/>
              </w:rPr>
              <w:t>Tipul investiției Aspecte principale verificate Unități de condiționare și/sau depozitare Spații, fluxuri, condiții de depozitare/păstrare, igienă, siguranța produselor, echipamente și condițiile de autorizare/înregistrare, după caz. Unități de procesare Flux tehnologic, spații și dotări, igienă și siguranță alimentară, cerințe sanitar-veterinare, deșeuri/subproduse și condițiile necesare autorizării. Comercializare/marketing, magazine la poarta unității și/sau rulote alimentare Cerințe privind comercializarea produselor alimentare, depozitarea, manipularea, igiena și siguranța alimentelor și cerințele specifice spațiului/mijlocului de comercializare. Spații/unități/puncte de sacrificare Cerințe sanitar-veterinare și de siguranță alimentară, fluxuri funcționale și tehnologice, igienă, dotări, subproduse de origine animală și condițiile de autorizare. Sisteme de management al calității și siguranței alimentare Legătura directă cu investiția corporală, relevanța pentru activitatea/produsul obținut și documentele justificative privind sistemul propus. Marketing, etichetare, branding etc. Legătura cu produsele obținute și respectarea cerințelor obligatorii privind etichetarea, prezentarea și comercializarea, după caz.</w:t>
            </w:r>
          </w:p>
          <w:p>
            <w:pPr>
              <w:spacing w:line="360" w:lineRule="auto"/>
              <w:ind w:left="0" w:right="0" w:firstLine="493"/>
            </w:pPr>
            <w:r>
              <w:rPr>
                <w:rFonts w:ascii="Cambria" w:hAnsi="Cambria"/>
                <w:b w:val="false"/>
                <w:sz w:val="24"/>
              </w:rPr>
              <w:t>În cazul în care legislația specifică prevede că anumite avize, acorduri, autorizații sau alte documente se obțin într-o etapă ulterioară depunerii Cererii de finanțare, lipsa acestora la momentul evaluării nu conduce automat la neeligibilitate. Evaluatorul verifică dacă documentația disponibilă demonstrează îndeplinirea condițiilor necesare pentru obținerea acestora și dacă soluția tehnică permite conformarea cu cerințele obligatorii până la momentul aplicabil.</w:t>
            </w:r>
          </w:p>
          <w:p>
            <w:pPr>
              <w:spacing w:line="360" w:lineRule="auto"/>
              <w:ind w:left="0" w:right="0" w:firstLine="493"/>
            </w:pPr>
            <w:r>
              <w:rPr>
                <w:rFonts w:ascii="Cambria" w:hAnsi="Cambria"/>
                <w:b w:val="false"/>
                <w:sz w:val="24"/>
              </w:rPr>
              <w:t>Dacă din documentația depusă rezultă, în mod obiectiv și verificabil, că investiția propusă respectă cerințele obligatorii aplicabile, expertul bifează DA – condiție de eligibilitate îndeplinită.</w:t>
            </w:r>
          </w:p>
          <w:p>
            <w:pPr>
              <w:spacing w:line="360" w:lineRule="auto"/>
              <w:ind w:left="0" w:right="0" w:firstLine="493"/>
            </w:pPr>
            <w:r>
              <w:rPr>
                <w:rFonts w:ascii="Cambria" w:hAnsi="Cambria"/>
                <w:b w:val="false"/>
                <w:sz w:val="24"/>
              </w:rPr>
              <w:t>În cazul în care din documentația depusă rezultă nerespectarea unei cerințe obligatorii aplicabile sau documentația nu demonstrează îndeplinirea acesteia, expertul bifează NU – condiție de eligibilitate neîndeplinită și detaliază la rubrica „Observații” cerința concretă verificată, motivul neîndeplinirii și elementele justificative care au stat la baza constatării.</w:t>
            </w:r>
          </w:p>
          <w:p>
            <w:pPr>
              <w:spacing w:line="360" w:lineRule="auto"/>
              <w:ind w:left="0" w:right="0" w:firstLine="493"/>
            </w:pPr>
            <w:r>
              <w:rPr>
                <w:rFonts w:ascii="Cambria" w:hAnsi="Cambria"/>
                <w:b w:val="false"/>
                <w:sz w:val="24"/>
              </w:rPr>
              <w:t>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Minim 50% din produsele agricole care sunt supuse procesării/depozitării/condiționării trebuie să provină din exploatatiile membrilor formelor asociative.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Bold" w:hAnsi="Cambria Bold"/>
                <w:b/>
                <w:sz w:val="24"/>
              </w:rPr>
              <w:t>Documente verificate:</w:t>
            </w:r>
          </w:p>
          <w:p>
            <w:pPr>
              <w:spacing w:line="360" w:lineRule="auto"/>
              <w:ind w:left="0" w:right="0" w:firstLine="493"/>
            </w:pPr>
            <w:r>
              <w:rPr>
                <w:rFonts w:ascii="Cambria" w:hAnsi="Cambria"/>
                <w:b w:val="false"/>
                <w:sz w:val="24"/>
              </w:rPr>
              <w:t>- Declarație pe proprie răspundere semnată de reprezentantul legal al solicitantului din care să reiasă că minim 50% din produsele agricole care sunt supuse procesării/depozitării/condiționării provin din exploatațiile membrilor formelor asociative (model propriu al solicitantului), însoțită de un tabel centralizator cu estimarea cantităților de produse ce vor fi procesate/depozitate /condiționate provenite de la fiecare membru.</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Se va verifica dacă solicitantul a atașat la cererea de finanțare documentul solicitat și dacă din conținutul acestuia reiese îndeplinirea condiției de eligibilitate.</w:t>
            </w:r>
          </w:p>
          <w:p>
            <w:pPr>
              <w:spacing w:line="360" w:lineRule="auto"/>
              <w:ind w:left="0" w:right="0" w:firstLine="493"/>
            </w:pPr>
            <w:r>
              <w:rPr>
                <w:rFonts w:ascii="Cambria" w:hAnsi="Cambria"/>
                <w:b w:val="false"/>
                <w:sz w:val="24"/>
              </w:rPr>
              <w:t>Dacă solicitantul a atașat Declarația solicitată și din conținutul ei reiese angajamentul acestuia că minim 50% din produsele agricole care sunt supuse procesării/depozitării/condiționării trebuie să provină din exploatațiile membrilor formelor asociative , expertul</w:t>
            </w:r>
          </w:p>
          <w:p>
            <w:pPr>
              <w:spacing w:line="360" w:lineRule="auto"/>
              <w:ind w:left="0" w:right="0" w:firstLine="493"/>
            </w:pPr>
            <w:r>
              <w:rPr>
                <w:rFonts w:ascii="Cambria" w:hAnsi="Cambria"/>
                <w:b w:val="false"/>
                <w:sz w:val="24"/>
              </w:rPr>
              <w:t>bifează DA- condiție de eligibilitate, se bifează căsuța corespunzătoare și se continuă verificarea.</w:t>
            </w:r>
          </w:p>
          <w:p>
            <w:pPr>
              <w:spacing w:line="360" w:lineRule="auto"/>
              <w:ind w:left="0" w:right="0" w:firstLine="493"/>
            </w:pPr>
            <w:r>
              <w:rPr>
                <w:rFonts w:ascii="Cambria" w:hAnsi="Cambria"/>
                <w:b w:val="false"/>
                <w:sz w:val="24"/>
              </w:rPr>
              <w:t>Dacă solicitantul  nu a atașat Declarația solicitată sau dacă din conținutul ei nu reiese angajamentul acestuia că minim 50% din produsele agricole care sunt supuse procesării/depozitării/ condiționării trebuie să provină din exploatațiile membrilor formelor asociative , expertul</w:t>
            </w:r>
          </w:p>
          <w:p>
            <w:pPr>
              <w:spacing w:line="360" w:lineRule="auto"/>
              <w:ind w:left="0" w:right="0" w:firstLine="493"/>
            </w:pPr>
            <w:r>
              <w:rPr>
                <w:rFonts w:ascii="Cambria" w:hAnsi="Cambria"/>
                <w:b w:val="false"/>
                <w:sz w:val="24"/>
              </w:rPr>
              <w:t>bifează  </w:t>
            </w:r>
            <w:r>
              <w:rPr>
                <w:rFonts w:ascii="Cambria Bold" w:hAnsi="Cambria Bold"/>
                <w:b/>
                <w:sz w:val="24"/>
              </w:rPr>
              <w:t>NU- condiție de neeligibilitate</w:t>
            </w:r>
            <w:r>
              <w:rPr>
                <w:rFonts w:ascii="Cambria" w:hAnsi="Cambria"/>
                <w:b w:val="false"/>
                <w:sz w:val="24"/>
              </w:rPr>
              <w:t>, se bifează căsuța corespunzătoare și se continuă verificarea.</w:t>
            </w:r>
          </w:p>
          <w:p>
            <w:pPr>
              <w:spacing w:line="360" w:lineRule="auto"/>
              <w:ind w:left="0" w:right="0" w:firstLine="493"/>
            </w:pPr>
            <w:r>
              <w:rPr>
                <w:rFonts w:ascii="Cambria" w:hAnsi="Cambria"/>
                <w:b w:val="false"/>
                <w:sz w:val="24"/>
              </w:rPr>
              <w:t>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Investițiile se vor realiza pe teritoriul GAL Ceahlău</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verificate:</w:t>
            </w:r>
            <w:r>
              <w:rPr>
                <w:rFonts w:ascii="Cambria" w:hAnsi="Cambria"/>
                <w:b w:val="false"/>
                <w:sz w:val="24"/>
              </w:rPr>
              <w:t> </w:t>
            </w:r>
            <w:r>
              <w:rPr>
                <w:rFonts w:ascii="Cambria Bold" w:hAnsi="Cambria Bold"/>
                <w:b/>
                <w:sz w:val="24"/>
              </w:rPr>
              <w:t>- </w:t>
            </w:r>
            <w:r>
              <w:rPr>
                <w:rFonts w:ascii="Cambria" w:hAnsi="Cambria"/>
                <w:b w:val="false"/>
                <w:sz w:val="24"/>
              </w:rPr>
              <w:t>Documentele consitutive ale solicitantului - Documentul pe care solicitanții îl prezintă pentru terenurile și clădirile aferente investițiilor prevăzute în proiect </w:t>
            </w:r>
            <w:r>
              <w:rPr>
                <w:rFonts w:ascii="Cambria Bold" w:hAnsi="Cambria Bold"/>
                <w:b/>
                <w:sz w:val="24"/>
              </w:rPr>
              <w:t>Metodologie de verificare:</w:t>
            </w:r>
            <w:r>
              <w:rPr>
                <w:rFonts w:ascii="Cambria" w:hAnsi="Cambria"/>
                <w:b w:val="false"/>
                <w:sz w:val="24"/>
              </w:rPr>
              <w:t> Expertul verifică dacă din documentele prezentante de solicitant   reiese că  investițiile propuse spre finanțare se realizează pe teritoriul GAL Ceahlău.Dacă din verificarea efectuată reiese că investiția propusă se realizează  pe teritoriul GAL Ceahlău, expertul bifează DA și condiția de eligibilitate este îndeplinită.Dacă  din verificarea efectuată reiese că investiția propusă se realizează înafara teritoriului GAL Ceahlău, expertul bifează NU - condiția de eligibilitate NU este îndeplinită. Se detaliază la rubrica Observații.Expertul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Aplicanții/beneficiarii trebuie să aibă sediul social sau punct de lucru pe teritoriul G.A.L Ceahlău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verificate:</w:t>
            </w:r>
            <w:r>
              <w:rPr>
                <w:rFonts w:ascii="Cambria" w:hAnsi="Cambria"/>
                <w:b w:val="false"/>
                <w:sz w:val="24"/>
              </w:rPr>
              <w:t> - Cererea de finanțare - secțiunea A6 - Doc. 1- Studiul de fezabilitate/ Memoriu justificativ/ DALI - Certificatul constatator atașat Cererii de finanțare </w:t>
            </w:r>
            <w:r>
              <w:rPr>
                <w:rFonts w:ascii="Cambria Bold" w:hAnsi="Cambria Bold"/>
                <w:b/>
                <w:sz w:val="24"/>
              </w:rPr>
              <w:t>Metodologie de verificare:</w:t>
            </w:r>
            <w:r>
              <w:rPr>
                <w:rFonts w:ascii="Cambria" w:hAnsi="Cambria"/>
                <w:b w:val="false"/>
                <w:sz w:val="24"/>
              </w:rPr>
              <w:t> Expertul verifică dacă din documentele prezentate de solicitant  reiese că acesta are sediul social sau punctul de lucru unde se va implementa proiectul pe teritoriul GAL Ceahlău. Solicitantul să aibă sediul social sau punctul/ punctele de lucru unde se implementează proiectul pe teritoriul acoperit de GAL Ceahlău. În situația în care solicitantul nu are deschis punctul de lucru unde se va realiza proiectul – la momentul depunerii proiectului, sediul social trebuie să fie în teritoriul GAL – la momentul depunerii proiectului. Dacă sediul social/punctul de lucru unde se va implementa proiectul este amplasat pe teritoriul GAL Ceahlău, expertul bifează  </w:t>
            </w:r>
            <w:r>
              <w:rPr>
                <w:rFonts w:ascii="Cambria Bold" w:hAnsi="Cambria Bold"/>
                <w:b/>
                <w:sz w:val="24"/>
              </w:rPr>
              <w:t>DA</w:t>
            </w:r>
            <w:r>
              <w:rPr>
                <w:rFonts w:ascii="Cambria" w:hAnsi="Cambria"/>
                <w:b w:val="false"/>
                <w:sz w:val="24"/>
              </w:rPr>
              <w:t>  și condiția de eligibilitate este îndeplinită. Dacă sediul social/punctul de lucru unde se va implementa proiectul nu este amplasat pe teritoriul GAL Ceahlău, expertul bifează  </w:t>
            </w:r>
            <w:r>
              <w:rPr>
                <w:rFonts w:ascii="Cambria Bold" w:hAnsi="Cambria Bold"/>
                <w:b/>
                <w:sz w:val="24"/>
              </w:rPr>
              <w:t>NU</w:t>
            </w:r>
            <w:r>
              <w:rPr>
                <w:rFonts w:ascii="Cambria" w:hAnsi="Cambria"/>
                <w:b w:val="false"/>
                <w:sz w:val="24"/>
              </w:rPr>
              <w:t>  - condiția de eligibilitate NU este îndeplinită. Se detaliază la rubrica Observații. 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Aplicanții/beneficiarii se vor angaja să asigure întreţinerea/mentenanţa investiţiei pe o perioadă de minim 5 ani de la ultima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Bold" w:hAnsi="Cambria Bold"/>
                <w:b/>
                <w:sz w:val="24"/>
              </w:rPr>
              <w:t>Documente verificate:</w:t>
            </w:r>
            <w:r>
              <w:rPr>
                <w:rFonts w:ascii="Cambria" w:hAnsi="Cambria"/>
                <w:b w:val="false"/>
                <w:sz w:val="24"/>
              </w:rPr>
              <w:t> - Declarație pe proprie răspundere EG3 si EG8 - Doc. 1 - Studiul de fezabilitate/ Memoriu justificativ/ DALI </w:t>
            </w:r>
            <w:r>
              <w:rPr>
                <w:rFonts w:ascii="Cambria Bold" w:hAnsi="Cambria Bold"/>
                <w:b/>
                <w:sz w:val="24"/>
              </w:rPr>
              <w:t>Metodologie de verificare:</w:t>
            </w:r>
            <w:r>
              <w:rPr>
                <w:rFonts w:ascii="Cambria" w:hAnsi="Cambria"/>
                <w:b w:val="false"/>
                <w:sz w:val="24"/>
              </w:rPr>
              <w:t> Se verifica ca  solicitantul și-a însușit angajamentul privind asigurarea intreinerii/mentenantei investitiei pe o perioada de minim 5 ani de la ultma plata, prin Formularul Declarație pe proprie răspundere EG3 si EG8, atunci acesta bifează  </w:t>
            </w:r>
            <w:r>
              <w:rPr>
                <w:rFonts w:ascii="Cambria Bold" w:hAnsi="Cambria Bold"/>
                <w:b/>
                <w:sz w:val="24"/>
              </w:rPr>
              <w:t>DA  </w:t>
            </w:r>
            <w:r>
              <w:rPr>
                <w:rFonts w:ascii="Cambria" w:hAnsi="Cambria"/>
                <w:b w:val="false"/>
                <w:sz w:val="24"/>
              </w:rPr>
              <w:t>în căsuța corespunzătoare - condiția de eligibilitate este îndeplinită. În situația în care expertul constată pe parcursul verificării că nu sunt respectate punctele asumate de solicitant în Formularul Declarația pe propria raspundere EG3 si EG8, atunci se bifează  </w:t>
            </w:r>
            <w:r>
              <w:rPr>
                <w:rFonts w:ascii="Cambria Bold" w:hAnsi="Cambria Bold"/>
                <w:b/>
                <w:sz w:val="24"/>
              </w:rPr>
              <w:t>NU</w:t>
            </w:r>
            <w:r>
              <w:rPr>
                <w:rFonts w:ascii="Cambria" w:hAnsi="Cambria"/>
                <w:b w:val="false"/>
                <w:sz w:val="24"/>
              </w:rPr>
              <w:t>  - condiția de eligibilitate NU este îndeplinită.  Se detaliază la rubrica Observații. Expertul va continua evaluarea tuturor criteriilor de eligibilitate, pentru ca la final solicitantul să fie înștiințat cu privire la toate condițiile de eligibilitate neîndeplinite.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Vor fi prioritizate proiectele care vor realiza investiții în utilizarea energiei regenerabile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w:t>
            </w:r>
          </w:p>
        </w:tc>
        <w:tc>
          <w:tcPr>
            <w:shd w:val="clear" w:color="auto" w:fill="F8ECD2"/>
            <w:vAlign w:val="center"/>
          </w:tcPr>
          <w:p>
            <w:r>
              <w:rPr>
                <w:rFonts w:ascii="Cambria" w:hAnsi="Cambria"/>
                <w:b w:val="false"/>
                <w:color w:val="58400C"/>
                <w:sz w:val="24"/>
              </w:rPr>
              <w:t>Proiectul prevede investiții în utilizarea energiei regenerabile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u w:val="single"/>
              </w:rPr>
              <w:t>Documente obligatorii: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SF/MJ/DALI</w:t>
            </w:r>
          </w:p>
          <w:p>
            <w:pPr>
              <w:pStyle w:val="ListParagraph"/>
              <w:numPr>
                <w:ilvl w:val="0"/>
                <w:numId w:val="2"/>
              </w:numPr>
            </w:pPr>
            <w:r>
              <w:rPr>
                <w:rFonts w:ascii="Cambria" w:hAnsi="Cambria"/>
                <w:b w:val="false"/>
                <w:sz w:val="24"/>
              </w:rPr>
              <w:t>Oferte de preț</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verifică dacă proiectul prevede investiții în soluții de producere sau utilizare a energiei regenerabile pentru consum propriu (ex.: panouri fotovoltaice, pompe de căldură, sisteme pe biomasă, alte surse regenerabile). </w:t>
            </w:r>
          </w:p>
          <w:p>
            <w:pPr>
              <w:spacing w:line="360" w:lineRule="auto"/>
              <w:ind w:left="0" w:right="0" w:firstLine="493"/>
            </w:pPr>
            <w:r>
              <w:rPr>
                <w:rFonts w:ascii="Cambria" w:hAnsi="Cambria"/>
                <w:b w:val="false"/>
                <w:sz w:val="24"/>
              </w:rPr>
              <w:t>Se acordă 25 puncte dacă investiția este prevăzută clar în proiect și este justificată în buget.</w:t>
            </w:r>
          </w:p>
          <w:p>
            <w:pPr>
              <w:spacing w:line="360" w:lineRule="auto"/>
              <w:ind w:left="0" w:right="0" w:firstLine="493"/>
            </w:pPr>
            <w:r>
              <w:rPr>
                <w:rFonts w:ascii="Cambria" w:hAnsi="Cambria"/>
                <w:b w:val="false"/>
                <w:sz w:val="24"/>
              </w:rPr>
              <w:t>Se acordă 0 puncte dacă proiectul nu prevede investiții în utilizarea energiei regenerabile.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Vor fi prioritizate proiectelor care vor realiza investitii în digitalizarea activității de procesare/comercializare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w:t>
            </w:r>
          </w:p>
        </w:tc>
        <w:tc>
          <w:tcPr>
            <w:shd w:val="clear" w:color="auto" w:fill="F8ECD2"/>
            <w:vAlign w:val="center"/>
          </w:tcPr>
          <w:p>
            <w:r>
              <w:rPr>
                <w:rFonts w:ascii="Cambria" w:hAnsi="Cambria"/>
                <w:b w:val="false"/>
                <w:color w:val="58400C"/>
                <w:sz w:val="24"/>
              </w:rPr>
              <w:t>Proiectul propune investiții în digitalizarea activității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u w:val="single"/>
              </w:rPr>
              <w:t>Documente obligatorii: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SF/MJ/DALI</w:t>
            </w:r>
          </w:p>
          <w:p>
            <w:pPr>
              <w:pStyle w:val="ListParagraph"/>
              <w:numPr>
                <w:ilvl w:val="0"/>
                <w:numId w:val="2"/>
              </w:numPr>
            </w:pPr>
            <w:r>
              <w:rPr>
                <w:rFonts w:ascii="Cambria" w:hAnsi="Cambria"/>
                <w:b w:val="false"/>
                <w:sz w:val="24"/>
              </w:rPr>
              <w:t>Oferte de preț</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Expertul verifică dacă proiectul include dotări, echipamente sau soluții informatice care contribuie la digitalizarea activităților de procesare, depozitare sau comercializare (ex.: automatizări, sisteme de trasabilitate, gestiune digitală, vânzare online, platforme e-commerce) .      </w:t>
            </w:r>
          </w:p>
          <w:p>
            <w:pPr>
              <w:spacing w:line="360" w:lineRule="auto"/>
              <w:ind w:left="0" w:right="0" w:firstLine="493"/>
            </w:pPr>
            <w:r>
              <w:rPr>
                <w:rFonts w:ascii="Cambria" w:hAnsi="Cambria"/>
                <w:b w:val="false"/>
                <w:sz w:val="24"/>
              </w:rPr>
              <w:t>Se acordă 25 puncte dacă proiectul prevede explicit astfel de dotări sau soluții, justificate tehnic și financiar.</w:t>
            </w:r>
          </w:p>
          <w:p>
            <w:pPr>
              <w:spacing w:line="360" w:lineRule="auto"/>
              <w:ind w:left="0" w:right="0" w:firstLine="493"/>
            </w:pPr>
            <w:r>
              <w:rPr>
                <w:rFonts w:ascii="Cambria" w:hAnsi="Cambria"/>
                <w:b w:val="false"/>
                <w:sz w:val="24"/>
              </w:rPr>
              <w:t>Se acordă 0 puncte dacă proiectul nu prevedere investiții în digitalizarea activității.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Vor fi prioritizate proiectele care nu au beneficiat de sprijin pentru activități similare</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w:t>
            </w:r>
          </w:p>
        </w:tc>
        <w:tc>
          <w:tcPr>
            <w:shd w:val="clear" w:color="auto" w:fill="F8ECD2"/>
            <w:vAlign w:val="center"/>
          </w:tcPr>
          <w:p>
            <w:r>
              <w:rPr>
                <w:rFonts w:ascii="Cambria" w:hAnsi="Cambria"/>
                <w:b w:val="false"/>
                <w:color w:val="58400C"/>
                <w:sz w:val="24"/>
              </w:rPr>
              <w:t>Solicitantul nu a beneficiat anterior de sprijin pentru activități similare </w:t>
            </w:r>
          </w:p>
        </w:tc>
        <w:tc>
          <w:tcPr>
            <w:vAlign w:val="center"/>
          </w:tcPr>
          <w:p>
            <w:pPr>
              <w:keepNext/>
              <w:jc w:val="center"/>
            </w:pPr>
            <w:r>
              <w:rPr>
                <w:rFonts w:ascii="Cambria" w:hAnsi="Cambria"/>
                <w:b w:val="false"/>
                <w:sz w:val="24"/>
              </w:rPr>
              <w:t>25 p</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u w:val="single"/>
              </w:rPr>
              <w:t>Documente obligatorii:</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SF/MJ/DALI</w:t>
            </w:r>
          </w:p>
          <w:p>
            <w:pPr>
              <w:spacing w:line="360" w:lineRule="auto"/>
              <w:ind w:left="0" w:right="0" w:firstLine="493"/>
            </w:pPr>
            <w:r>
              <w:rPr>
                <w:rFonts w:ascii="Cambria" w:hAnsi="Cambria"/>
                <w:b w:val="false"/>
                <w:sz w:val="24"/>
              </w:rPr>
              <w:t>Metodologie de verificare:</w:t>
            </w:r>
          </w:p>
          <w:p>
            <w:pPr>
              <w:spacing w:line="360" w:lineRule="auto"/>
              <w:ind w:left="0" w:right="0" w:firstLine="493"/>
            </w:pPr>
            <w:r>
              <w:rPr>
                <w:rFonts w:ascii="Cambria" w:hAnsi="Cambria"/>
                <w:b w:val="false"/>
                <w:sz w:val="24"/>
              </w:rPr>
              <w:t>Se urmărește sprijinirea beneficiarilor care nu au mai primit finanțare pentru activități de tipul celor finanțate în cadrul prezentei intervenții, din alte surse de finanțare europene sau naționale.     </w:t>
            </w:r>
          </w:p>
          <w:p>
            <w:pPr>
              <w:spacing w:line="360" w:lineRule="auto"/>
              <w:ind w:left="0" w:right="0" w:firstLine="493"/>
            </w:pPr>
            <w:r>
              <w:rPr>
                <w:rFonts w:ascii="Cambria" w:hAnsi="Cambria"/>
                <w:b w:val="false"/>
                <w:sz w:val="24"/>
              </w:rPr>
              <w:t>Se acordă 25 puncte dacă din documentele depuse de solicitant și din verificările efectuate de către experții evaluatori rezultă că solicitantul nu a mai beneficiat de astfel de finanțări.</w:t>
            </w:r>
          </w:p>
          <w:p>
            <w:pPr>
              <w:spacing w:line="360" w:lineRule="auto"/>
              <w:ind w:left="0" w:right="0" w:firstLine="493"/>
            </w:pPr>
            <w:r>
              <w:rPr>
                <w:rFonts w:ascii="Cambria" w:hAnsi="Cambria"/>
                <w:b w:val="false"/>
                <w:sz w:val="24"/>
              </w:rPr>
              <w:t>Se acordă 0 puncte dacă din documentele depuse de solicitant și din verificările efectuate de către experții evaluatori rezultă că solicitantul a mai beneficiat de fonduri nerambursabile pentru activități de tipul celor finanțate în cadrul prezentei intervenții.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Vor fi prioritizate proiectele care în urma realizării investiției vor crea locuri de muncă</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w:t>
            </w:r>
          </w:p>
        </w:tc>
        <w:tc>
          <w:tcPr>
            <w:shd w:val="clear" w:color="auto" w:fill="F8ECD2"/>
            <w:vAlign w:val="center"/>
          </w:tcPr>
          <w:p>
            <w:r>
              <w:rPr>
                <w:rFonts w:ascii="Cambria" w:hAnsi="Cambria"/>
                <w:b w:val="false"/>
                <w:color w:val="58400C"/>
                <w:sz w:val="24"/>
              </w:rPr>
              <w:t>Se punctează proiectele care prevăd crearea unui loc de muncă  în urma implementării proiectului.</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u w:val="single"/>
              </w:rPr>
              <w:t>Documente obligatorii:</w:t>
            </w:r>
          </w:p>
          <w:p>
            <w:pPr>
              <w:spacing w:line="360" w:lineRule="auto"/>
              <w:ind w:left="0" w:right="0" w:firstLine="493"/>
            </w:pPr>
            <w:r>
              <w:rPr>
                <w:rFonts w:ascii="Cambria" w:hAnsi="Cambria"/>
                <w:b w:val="false"/>
                <w:sz w:val="24"/>
              </w:rPr>
              <w:t>- Cererea de finanțare - secțiunea A 6</w:t>
            </w:r>
          </w:p>
          <w:p>
            <w:pPr>
              <w:spacing w:line="360" w:lineRule="auto"/>
              <w:ind w:left="0" w:right="0" w:firstLine="493"/>
            </w:pPr>
            <w:r>
              <w:rPr>
                <w:rFonts w:ascii="Cambria" w:hAnsi="Cambria"/>
                <w:b w:val="false"/>
                <w:sz w:val="24"/>
              </w:rPr>
              <w:t>- Cererea de finanțare- Secțiunea INDICATORI DE REZULTAT ȘI DE REALIZARE  ( Indicatorul R37)</w:t>
            </w:r>
          </w:p>
          <w:p>
            <w:pPr>
              <w:spacing w:line="360" w:lineRule="auto"/>
              <w:ind w:left="0" w:right="0" w:firstLine="493"/>
            </w:pPr>
            <w:r>
              <w:rPr>
                <w:rFonts w:ascii="Cambria" w:hAnsi="Cambria"/>
                <w:b w:val="false"/>
                <w:sz w:val="24"/>
              </w:rPr>
              <w:t>- Doc.1.- Studiul de fezabilitate/ Memoriu justificativ/ DALI</w:t>
            </w:r>
          </w:p>
          <w:p>
            <w:pPr>
              <w:spacing w:line="360" w:lineRule="auto"/>
              <w:ind w:left="0" w:right="0" w:firstLine="493"/>
            </w:pPr>
            <w:r>
              <w:rPr>
                <w:rFonts w:ascii="Cambria" w:hAnsi="Cambria"/>
                <w:b w:val="false"/>
                <w:sz w:val="24"/>
                <w:u w:val="single"/>
              </w:rPr>
              <w:t>Metodologie de verificare:</w:t>
            </w:r>
          </w:p>
          <w:p>
            <w:pPr>
              <w:spacing w:line="360" w:lineRule="auto"/>
              <w:ind w:left="0" w:right="0" w:firstLine="493"/>
            </w:pPr>
            <w:r>
              <w:rPr>
                <w:rFonts w:ascii="Cambria" w:hAnsi="Cambria"/>
                <w:b w:val="false"/>
                <w:sz w:val="24"/>
              </w:rPr>
              <w:t>Expertul va verifica dacă din Cererea de finanțare și din Documentul 1 anexat acesteia reiese că în urma implementării proiectului se creează 1 loc de muncă nou.</w:t>
            </w:r>
          </w:p>
          <w:p>
            <w:pPr>
              <w:spacing w:line="360" w:lineRule="auto"/>
              <w:ind w:left="0" w:right="0" w:firstLine="493"/>
            </w:pPr>
            <w:r>
              <w:rPr>
                <w:rFonts w:ascii="Cambria" w:hAnsi="Cambria"/>
                <w:b w:val="false"/>
                <w:sz w:val="24"/>
              </w:rPr>
              <w:t>Modalitatea de cuantificare a locurilor d emuncă:</w:t>
            </w:r>
          </w:p>
          <w:p>
            <w:pPr>
              <w:spacing w:line="360" w:lineRule="auto"/>
              <w:ind w:left="0" w:right="0" w:firstLine="493"/>
            </w:pPr>
            <w:r>
              <w:rPr>
                <w:rFonts w:ascii="Cambria" w:hAnsi="Cambria"/>
                <w:b w:val="false"/>
                <w:sz w:val="24"/>
              </w:rPr>
              <w:t>*Pentru a cuantifica un loc de muncă echivalent normă întreagă creat, durata contractului de muncă ar trebui să fie de un an sau mai mult (de exemplu, un contract de șase luni cu normă întreagă este cuantificat 0,5).</w:t>
            </w:r>
          </w:p>
          <w:p>
            <w:pPr>
              <w:spacing w:line="360" w:lineRule="auto"/>
              <w:ind w:left="0" w:right="0" w:firstLine="493"/>
            </w:pPr>
            <w:r>
              <w:rPr>
                <w:rFonts w:ascii="Cambria" w:hAnsi="Cambria"/>
                <w:b w:val="false"/>
                <w:sz w:val="24"/>
              </w:rPr>
              <w:t>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tc>
        <w:tc>
          <w:tcPr>
            <w:shd w:val="clear" w:color="auto" w:fill="F8ECD2"/>
            <w:vAlign w:val="center"/>
          </w:tcPr>
          <w:p/>
        </w:tc>
        <w:tc>
          <w:tcPr>
            <w:vAlign w:val="center"/>
          </w:tcPr>
          <w:p/>
        </w:tc>
        <w:tc>
          <w:tcPr>
            <w:vAlign w:val="center"/>
          </w:tcPr>
          <w:p/>
        </w:tc>
        <w:tc>
          <w:tcPr>
            <w:vAlign w:val="center"/>
          </w:tcPr>
          <w:p/>
        </w:tc>
      </w:tr>
      <w:tr>
        <w:trPr/>
        <w:tc>
          <w:tcPr>
            <w:gridSpan w:val="5"/>
            <w:shd w:val="clear" w:color="auto" w:fill="DDDDDD"/>
            <w:vAlign w:val="center"/>
          </w:tcPr>
          <w:p>
            <w:r>
              <w:rPr>
                <w:rFonts w:ascii="Cambria Bold" w:hAnsi="Cambria Bold"/>
                <w:b/>
                <w:sz w:val="24"/>
              </w:rPr>
              <w:t>Punctaj minim: 25 de puncte</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CD1</w:t>
            </w:r>
          </w:p>
        </w:tc>
        <w:tc>
          <w:tcPr>
            <w:shd w:val="clear" w:color="auto" w:fill="F8ECD2"/>
            <w:vAlign w:val="center"/>
          </w:tcPr>
          <w:p>
            <w:r>
              <w:rPr>
                <w:rFonts w:ascii="Cambria" w:hAnsi="Cambria"/>
                <w:b w:val="false"/>
                <w:color w:val="58400C"/>
                <w:sz w:val="24"/>
              </w:rPr>
              <w:t>Valoarea eligibilă a proiectului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cazul proiectelor cu același punctaj, proiectele vor fi selectate spre finanțare în ordinea crescătoare a valorii eligibile 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CD2</w:t>
            </w:r>
          </w:p>
        </w:tc>
        <w:tc>
          <w:tcPr>
            <w:shd w:val="clear" w:color="auto" w:fill="F8ECD2"/>
            <w:vAlign w:val="center"/>
          </w:tcPr>
          <w:p>
            <w:r>
              <w:rPr>
                <w:rFonts w:ascii="Cambria" w:hAnsi="Cambria"/>
                <w:b w:val="false"/>
                <w:color w:val="58400C"/>
                <w:sz w:val="24"/>
              </w:rPr>
              <w:t>Numărul de membri fermieri în forma asociativă</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cu același punctaj și aceeași valoare eligibilă a proiectului, proiectele vor fi selectate în ordinea descrescătoare a numărului de fermieri activi care fac parte din forma asociativă solicitantă, cu scopul de a încuraja proiectele cu impact colectiv mai larg.</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CD3</w:t>
            </w:r>
          </w:p>
        </w:tc>
        <w:tc>
          <w:tcPr>
            <w:shd w:val="clear" w:color="auto" w:fill="F8ECD2"/>
            <w:vAlign w:val="center"/>
          </w:tcPr>
          <w:p>
            <w:r>
              <w:rPr>
                <w:rFonts w:ascii="Cambria" w:hAnsi="Cambria"/>
                <w:b w:val="false"/>
                <w:color w:val="58400C"/>
                <w:sz w:val="24"/>
              </w:rPr>
              <w:t>Numărul de locuri de muncă create în urma implementării proiectului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cazul proiectelor cu același punctaj, aceeași valoare eligibilă și același număr de fermieri activi ce fac parte din forma asociativă,   proiectele vor fi selectate în ordinea descrescătoare a numărului de locuri de muncă create în urma implementării proiectului.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CD4</w:t>
            </w:r>
          </w:p>
        </w:tc>
        <w:tc>
          <w:tcPr>
            <w:shd w:val="clear" w:color="auto" w:fill="F8ECD2"/>
            <w:vAlign w:val="center"/>
          </w:tcPr>
          <w:p>
            <w:r>
              <w:rPr>
                <w:rFonts w:ascii="Cambria" w:hAnsi="Cambria"/>
                <w:b w:val="false"/>
                <w:color w:val="58400C"/>
                <w:sz w:val="24"/>
              </w:rPr>
              <w:t>Dimensiunea economică a explotației ce face obiectul spijinului financiar</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În cazul proiectelor cu același punctaj, aceeași valoare eligibilă,  același număr de fermieri activi ce fac parte din forma asociativă și același număr locuri de muncă create în urma implementării proiectului, selecția se va realiza în ordinea descrescătoare a dimensiunii economice a explotației agricole ( exprimată în SO – Standard Output). </w:t>
            </w:r>
          </w:p>
          <w:p>
            <w:pPr>
              <w:spacing w:line="360" w:lineRule="auto"/>
              <w:ind w:left="0" w:right="0" w:firstLine="493"/>
            </w:pPr>
            <w:r>
              <w:rPr>
                <w:rFonts w:ascii="Cambria" w:hAnsi="Cambria"/>
                <w:b w:val="false"/>
                <w:sz w:val="24"/>
              </w:rPr>
              <w:t>Dimensiunea economică a explotației agricole se va calcula ca sumă a dimensiunii economice a explotațiilor agricole a fiecărui membru din forma asociativă ce are calitatea de soliictant.</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8c6a05981c2f4425" /><Relationship Type="http://schemas.openxmlformats.org/officeDocument/2006/relationships/numbering" Target="/word/numbering.xml" Id="R045a6e4257a44ab8" /></Relationships>
</file>